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A6" w:rsidRDefault="00E247A6" w:rsidP="00E247A6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E247A6" w:rsidRDefault="00E247A6" w:rsidP="00E247A6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E247A6" w:rsidRDefault="00E247A6" w:rsidP="00E247A6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247A6" w:rsidRDefault="00E247A6" w:rsidP="00E247A6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A6" w:rsidRDefault="00E247A6" w:rsidP="00E247A6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E247A6" w:rsidRDefault="00E247A6" w:rsidP="00E24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47A6" w:rsidRDefault="00E247A6" w:rsidP="00E24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7A6" w:rsidRDefault="00E247A6" w:rsidP="00E24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апреля 2024 года                                                                       №2</w:t>
      </w:r>
      <w:r w:rsidR="0088188C">
        <w:rPr>
          <w:rFonts w:ascii="Times New Roman" w:hAnsi="Times New Roman" w:cs="Times New Roman"/>
          <w:sz w:val="28"/>
          <w:szCs w:val="28"/>
        </w:rPr>
        <w:t>2</w:t>
      </w:r>
    </w:p>
    <w:p w:rsidR="00E247A6" w:rsidRDefault="00E247A6" w:rsidP="00E24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E247A6" w:rsidRDefault="00E247A6" w:rsidP="00E247A6">
      <w:pPr>
        <w:shd w:val="clear" w:color="auto" w:fill="FFFFFF"/>
        <w:spacing w:after="0" w:line="240" w:lineRule="auto"/>
        <w:ind w:left="70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7A6" w:rsidRPr="00E247A6" w:rsidRDefault="00E247A6" w:rsidP="00E247A6">
      <w:pPr>
        <w:shd w:val="clear" w:color="auto" w:fill="FFFFFF"/>
        <w:spacing w:after="0" w:line="240" w:lineRule="auto"/>
        <w:ind w:left="7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при предоставлении</w:t>
      </w:r>
    </w:p>
    <w:p w:rsidR="00E247A6" w:rsidRPr="00E247A6" w:rsidRDefault="00E247A6" w:rsidP="00E247A6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муниципальной гарантии минимального объема (суммы) обеспечения</w:t>
      </w:r>
    </w:p>
    <w:p w:rsidR="00E247A6" w:rsidRPr="00E247A6" w:rsidRDefault="00E247A6" w:rsidP="00E247A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исполнения обязатель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E247A6">
        <w:rPr>
          <w:rFonts w:ascii="Times New Roman" w:eastAsia="Times New Roman" w:hAnsi="Times New Roman" w:cs="Times New Roman"/>
          <w:sz w:val="28"/>
          <w:szCs w:val="28"/>
        </w:rPr>
        <w:t>инципала по удовлетворению регрессивного</w:t>
      </w:r>
    </w:p>
    <w:p w:rsidR="00E247A6" w:rsidRPr="00E247A6" w:rsidRDefault="00E247A6" w:rsidP="00E247A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требования гаранта к принципалу по муниципальной гарантии в зависимости</w:t>
      </w:r>
    </w:p>
    <w:p w:rsidR="00E247A6" w:rsidRPr="00E247A6" w:rsidRDefault="00E247A6" w:rsidP="00E247A6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от степени удовлетворенности финансового состояния принципала</w:t>
      </w:r>
    </w:p>
    <w:p w:rsidR="00E247A6" w:rsidRDefault="00E247A6" w:rsidP="00E247A6">
      <w:pPr>
        <w:shd w:val="clear" w:color="auto" w:fill="FFFFFF"/>
        <w:spacing w:before="322" w:after="0" w:line="240" w:lineRule="auto"/>
        <w:ind w:right="5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7A6" w:rsidRPr="00E247A6" w:rsidRDefault="00E247A6" w:rsidP="00E247A6">
      <w:pPr>
        <w:shd w:val="clear" w:color="auto" w:fill="FFFFFF"/>
        <w:spacing w:before="322" w:after="0"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247A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4 статьи 115.3</w:t>
        </w:r>
      </w:hyperlink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247A6" w:rsidRPr="00E247A6" w:rsidRDefault="00E247A6" w:rsidP="00E247A6">
      <w:pPr>
        <w:shd w:val="clear" w:color="auto" w:fill="FFFFFF"/>
        <w:spacing w:before="269" w:after="0" w:line="24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247A6" w:rsidRPr="00E247A6" w:rsidRDefault="00E247A6" w:rsidP="00E247A6">
      <w:pPr>
        <w:shd w:val="clear" w:color="auto" w:fill="FFFFFF"/>
        <w:tabs>
          <w:tab w:val="left" w:pos="1459"/>
          <w:tab w:val="left" w:pos="3586"/>
          <w:tab w:val="left" w:pos="4824"/>
          <w:tab w:val="left" w:pos="6202"/>
          <w:tab w:val="left" w:pos="8088"/>
        </w:tabs>
        <w:spacing w:before="274" w:after="0"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 xml:space="preserve">1.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Утвердить Порядок определения при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гарантии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минимального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объема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(суммы)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обязатель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E247A6">
        <w:rPr>
          <w:rFonts w:ascii="Times New Roman" w:eastAsia="Times New Roman" w:hAnsi="Times New Roman" w:cs="Times New Roman"/>
          <w:sz w:val="28"/>
          <w:szCs w:val="28"/>
        </w:rPr>
        <w:t>инципала по удовлетворению регрессного требования гаранта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к принципалу по муниципальной гарантии в зависимости от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удовлетворительности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5" w:history="1">
        <w:r w:rsidRPr="00E247A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приложению.</w:t>
        </w:r>
      </w:hyperlink>
    </w:p>
    <w:p w:rsidR="00E247A6" w:rsidRPr="00E247A6" w:rsidRDefault="00E247A6" w:rsidP="00E247A6">
      <w:pPr>
        <w:shd w:val="clear" w:color="auto" w:fill="FFFFFF"/>
        <w:tabs>
          <w:tab w:val="left" w:pos="4738"/>
        </w:tabs>
        <w:spacing w:after="0"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>2.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Муниципальном вестнике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сельского    поселения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10"/>
          <w:sz w:val="28"/>
          <w:szCs w:val="28"/>
        </w:rPr>
        <w:t>и    разместить    на    официальном  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247A6" w:rsidRPr="00E247A6" w:rsidRDefault="00E247A6" w:rsidP="00E247A6">
      <w:pPr>
        <w:shd w:val="clear" w:color="auto" w:fill="FFFFFF"/>
        <w:tabs>
          <w:tab w:val="left" w:pos="1142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официального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br/>
        <w:t>опубликования.</w:t>
      </w:r>
    </w:p>
    <w:p w:rsidR="00E247A6" w:rsidRPr="00E247A6" w:rsidRDefault="00E247A6" w:rsidP="00E247A6">
      <w:pPr>
        <w:shd w:val="clear" w:color="auto" w:fill="FFFFFF"/>
        <w:tabs>
          <w:tab w:val="left" w:pos="989"/>
        </w:tabs>
        <w:spacing w:after="0" w:line="240" w:lineRule="auto"/>
        <w:ind w:left="706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E247A6" w:rsidRDefault="00E247A6" w:rsidP="00E24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7A6" w:rsidRPr="00DD4657" w:rsidRDefault="00E247A6" w:rsidP="00E24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65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6E69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657">
        <w:rPr>
          <w:rFonts w:ascii="Times New Roman" w:hAnsi="Times New Roman" w:cs="Times New Roman"/>
          <w:sz w:val="28"/>
          <w:szCs w:val="28"/>
        </w:rPr>
        <w:t xml:space="preserve">Унарского сельского поселения </w:t>
      </w:r>
      <w:r w:rsidRPr="00DD46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D4657">
        <w:rPr>
          <w:rFonts w:ascii="Times New Roman" w:hAnsi="Times New Roman" w:cs="Times New Roman"/>
          <w:sz w:val="28"/>
          <w:szCs w:val="28"/>
        </w:rPr>
        <w:t>И.А. Попов</w:t>
      </w:r>
    </w:p>
    <w:p w:rsid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P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7A6" w:rsidRDefault="00E247A6" w:rsidP="00E247A6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7A6" w:rsidRDefault="00E247A6" w:rsidP="00E247A6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7A6" w:rsidRPr="00E247A6" w:rsidRDefault="00E247A6" w:rsidP="00E247A6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E247A6" w:rsidRPr="00E247A6" w:rsidRDefault="00E247A6" w:rsidP="00E247A6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E247A6" w:rsidRPr="00E247A6" w:rsidRDefault="00E247A6" w:rsidP="00E247A6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E247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247A6" w:rsidRPr="00E247A6" w:rsidRDefault="00E247A6" w:rsidP="00E247A6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247A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47A6">
        <w:rPr>
          <w:rFonts w:ascii="Times New Roman" w:eastAsia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E247A6" w:rsidRPr="00E247A6" w:rsidRDefault="00E247A6" w:rsidP="00E247A6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E247A6" w:rsidRPr="00E247A6" w:rsidRDefault="00E247A6" w:rsidP="00E247A6">
      <w:pPr>
        <w:shd w:val="clear" w:color="auto" w:fill="FFFFFF"/>
        <w:spacing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определения при предоставлении муниципальной гарантии минимального</w:t>
      </w:r>
    </w:p>
    <w:p w:rsidR="00E247A6" w:rsidRPr="00E247A6" w:rsidRDefault="00E247A6" w:rsidP="00E247A6">
      <w:pPr>
        <w:shd w:val="clear" w:color="auto" w:fill="FFFFFF"/>
        <w:spacing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объема (суммы) обеспечения исполнения обязательств принципала 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E247A6" w:rsidRPr="00E247A6" w:rsidRDefault="00E247A6" w:rsidP="00E247A6">
      <w:pPr>
        <w:shd w:val="clear" w:color="auto" w:fill="FFFFFF"/>
        <w:spacing w:line="240" w:lineRule="auto"/>
        <w:ind w:right="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удовлетворению регрессного требования гаранта к принципалу 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E247A6" w:rsidRPr="00E247A6" w:rsidRDefault="00E247A6" w:rsidP="00E247A6">
      <w:pPr>
        <w:shd w:val="clear" w:color="auto" w:fill="FFFFFF"/>
        <w:spacing w:line="240" w:lineRule="auto"/>
        <w:ind w:right="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муниципальной гарантии в зависимости от степени удовлетворительности</w:t>
      </w:r>
    </w:p>
    <w:p w:rsidR="00E247A6" w:rsidRPr="00E247A6" w:rsidRDefault="00E247A6" w:rsidP="00E247A6">
      <w:pPr>
        <w:shd w:val="clear" w:color="auto" w:fill="FFFFFF"/>
        <w:spacing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финансового состояния принципала</w:t>
      </w:r>
    </w:p>
    <w:p w:rsidR="00E247A6" w:rsidRPr="00E247A6" w:rsidRDefault="00E247A6" w:rsidP="00E247A6">
      <w:pPr>
        <w:shd w:val="clear" w:color="auto" w:fill="FFFFFF"/>
        <w:spacing w:before="322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247A6" w:rsidRPr="00E247A6" w:rsidRDefault="00E247A6" w:rsidP="00E247A6">
      <w:pPr>
        <w:shd w:val="clear" w:color="auto" w:fill="FFFFFF"/>
        <w:tabs>
          <w:tab w:val="left" w:pos="1320"/>
          <w:tab w:val="left" w:pos="3077"/>
          <w:tab w:val="left" w:pos="4507"/>
          <w:tab w:val="left" w:pos="6619"/>
          <w:tab w:val="left" w:pos="7982"/>
        </w:tabs>
        <w:spacing w:before="317"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Настоящий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устанавливает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минимального объема (суммы) обеспечения исполнения обязатель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E247A6">
        <w:rPr>
          <w:rFonts w:ascii="Times New Roman" w:eastAsia="Times New Roman" w:hAnsi="Times New Roman" w:cs="Times New Roman"/>
          <w:sz w:val="28"/>
          <w:szCs w:val="28"/>
        </w:rPr>
        <w:t>инципала по удовлетворению регрессного требования гаранта к принципалу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муниципальная гарантия) в зависимости от степени удовлетворительности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финансового состояния принципала.</w:t>
      </w:r>
    </w:p>
    <w:p w:rsidR="00E247A6" w:rsidRPr="00E247A6" w:rsidRDefault="00E247A6" w:rsidP="00E247A6">
      <w:pPr>
        <w:shd w:val="clear" w:color="auto" w:fill="FFFFFF"/>
        <w:tabs>
          <w:tab w:val="left" w:pos="1037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Минимальный объем (сумма) обеспечения исполнения обязатель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E247A6">
        <w:rPr>
          <w:rFonts w:ascii="Times New Roman" w:eastAsia="Times New Roman" w:hAnsi="Times New Roman" w:cs="Times New Roman"/>
          <w:sz w:val="28"/>
          <w:szCs w:val="28"/>
        </w:rPr>
        <w:t>инципала по удовлетворению регрессного требования гаранта к принципалу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 муниципальной гарантии в зависимости от степени удовлетворительности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финансового состояния принципала определяется на основании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анализа финансового состояния принципала.</w:t>
      </w:r>
    </w:p>
    <w:p w:rsidR="00E247A6" w:rsidRPr="00E247A6" w:rsidRDefault="00E247A6" w:rsidP="00E247A6">
      <w:pPr>
        <w:shd w:val="clear" w:color="auto" w:fill="FFFFFF"/>
        <w:tabs>
          <w:tab w:val="left" w:pos="994"/>
        </w:tabs>
        <w:spacing w:line="240" w:lineRule="auto"/>
        <w:ind w:left="706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Анализ финансового состояния принципала проводится специалистом</w:t>
      </w:r>
    </w:p>
    <w:p w:rsidR="00E247A6" w:rsidRPr="00E247A6" w:rsidRDefault="00E247A6" w:rsidP="00E247A6">
      <w:pPr>
        <w:shd w:val="clear" w:color="auto" w:fill="FFFFFF"/>
        <w:tabs>
          <w:tab w:val="left" w:pos="2026"/>
          <w:tab w:val="left" w:pos="4042"/>
          <w:tab w:val="left" w:pos="5722"/>
          <w:tab w:val="left" w:pos="7690"/>
          <w:tab w:val="left" w:pos="9259"/>
        </w:tabs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7A6">
        <w:rPr>
          <w:rFonts w:ascii="Times New Roman" w:hAnsi="Times New Roman" w:cs="Times New Roman"/>
          <w:sz w:val="28"/>
          <w:szCs w:val="28"/>
        </w:rPr>
        <w:t xml:space="preserve">-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бухгалтером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специалист - бухгалтер администрации) на основании Порядка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анализа финансового состояния принципала, проверки достаточности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надежности и ликвидности обеспечения, предоставляемого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исполнения обязательств принципала по удовлетворению регрессного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требования гаранта к принципалу, возникающего в связи с исполнением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полном объеме или в какой-либо части гарантии, при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мониторинга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финансового</w:t>
      </w:r>
      <w:proofErr w:type="gramEnd"/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принципала,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proofErr w:type="gramEnd"/>
    </w:p>
    <w:p w:rsidR="00E247A6" w:rsidRPr="00E247A6" w:rsidRDefault="00E247A6" w:rsidP="00E247A6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достаточностью, надежностью и ликвидностью предоставленного обеспечения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после предоставления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утвержденного постановлением главы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247A6" w:rsidRPr="00E247A6" w:rsidRDefault="00E247A6" w:rsidP="00E247A6">
      <w:pPr>
        <w:shd w:val="clear" w:color="auto" w:fill="FFFFFF"/>
        <w:tabs>
          <w:tab w:val="left" w:pos="1056"/>
          <w:tab w:val="left" w:pos="2002"/>
          <w:tab w:val="left" w:pos="4090"/>
          <w:tab w:val="left" w:pos="4598"/>
          <w:tab w:val="left" w:pos="6518"/>
          <w:tab w:val="left" w:pos="8779"/>
        </w:tabs>
        <w:spacing w:before="34" w:line="240" w:lineRule="auto"/>
        <w:ind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Степень удовлетворительности финансового состояния принципала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определяется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специалистом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бухгалтером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сопоставления значений показателей финансового состояния принципала,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указанных в заключении по результатам анализа финансового 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принципала со значениями показателей финансового состояния принципала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 группам, предусмотренными в таблице 1.</w:t>
      </w:r>
    </w:p>
    <w:p w:rsidR="00E247A6" w:rsidRPr="00E247A6" w:rsidRDefault="00E247A6" w:rsidP="00E247A6">
      <w:pPr>
        <w:shd w:val="clear" w:color="auto" w:fill="FFFFFF"/>
        <w:tabs>
          <w:tab w:val="left" w:pos="1056"/>
          <w:tab w:val="left" w:pos="2002"/>
          <w:tab w:val="left" w:pos="4090"/>
          <w:tab w:val="left" w:pos="4598"/>
          <w:tab w:val="left" w:pos="6518"/>
          <w:tab w:val="left" w:pos="8779"/>
        </w:tabs>
        <w:spacing w:before="34" w:line="240" w:lineRule="auto"/>
        <w:ind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247A6" w:rsidRPr="00E247A6">
          <w:pgSz w:w="11909" w:h="16834"/>
          <w:pgMar w:top="994" w:right="701" w:bottom="360" w:left="1704" w:header="720" w:footer="720" w:gutter="0"/>
          <w:cols w:space="60"/>
          <w:noEndnote/>
        </w:sectPr>
      </w:pPr>
    </w:p>
    <w:p w:rsidR="00E247A6" w:rsidRPr="00E247A6" w:rsidRDefault="00E247A6" w:rsidP="00E247A6">
      <w:pPr>
        <w:shd w:val="clear" w:color="auto" w:fill="FFFFFF"/>
        <w:spacing w:line="240" w:lineRule="auto"/>
        <w:ind w:left="730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Таблица 1</w:t>
      </w:r>
    </w:p>
    <w:p w:rsidR="00E247A6" w:rsidRPr="00E247A6" w:rsidRDefault="00E247A6" w:rsidP="00E247A6">
      <w:pPr>
        <w:shd w:val="clear" w:color="auto" w:fill="FFFFFF"/>
        <w:spacing w:line="240" w:lineRule="auto"/>
        <w:ind w:left="547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Значения показателей финансового состояния принципала по группам</w:t>
      </w:r>
    </w:p>
    <w:p w:rsidR="00E247A6" w:rsidRPr="00E247A6" w:rsidRDefault="00E247A6" w:rsidP="00E247A6">
      <w:pPr>
        <w:spacing w:after="322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2275"/>
        <w:gridCol w:w="1954"/>
        <w:gridCol w:w="2410"/>
      </w:tblGrid>
      <w:tr w:rsidR="00E247A6" w:rsidRPr="00E247A6" w:rsidTr="00D56111">
        <w:trPr>
          <w:trHeight w:hRule="exact" w:val="370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47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46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2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6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финансового состояния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31"/>
        </w:trPr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6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принципала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60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или равен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или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или равен</w:t>
            </w: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покрытия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основных</w:t>
            </w:r>
            <w:proofErr w:type="gramEnd"/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0,5, </w:t>
            </w: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 меньше 1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 1, но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средств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собственными</w:t>
            </w:r>
            <w:proofErr w:type="gramEnd"/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1,5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36"/>
        </w:trPr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(К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hyperlink r:id="rId6" w:history="1"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60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или равен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или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или равен 2</w:t>
            </w: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покрытия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основных</w:t>
            </w:r>
            <w:proofErr w:type="gramEnd"/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1, </w:t>
            </w: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 меньше 1,5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равен 1,5, но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средств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собственными</w:t>
            </w:r>
            <w:proofErr w:type="gramEnd"/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и долгосрочными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17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заемными средствами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41"/>
        </w:trPr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.1)</w:t>
            </w:r>
            <w:hyperlink r:id="rId7" w:history="1"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60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Коэффициент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текущей</w:t>
            </w:r>
            <w:proofErr w:type="gramEnd"/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или равен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2, 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 или равен</w:t>
            </w:r>
          </w:p>
        </w:tc>
      </w:tr>
      <w:tr w:rsidR="00E247A6" w:rsidRPr="00E247A6" w:rsidTr="00D56111">
        <w:trPr>
          <w:trHeight w:hRule="exact" w:val="658"/>
        </w:trPr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ликвидности (К3)</w:t>
            </w:r>
            <w:hyperlink r:id="rId8" w:history="1"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2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1, </w:t>
            </w: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но меньше или 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 2</w:t>
            </w:r>
          </w:p>
        </w:tc>
      </w:tr>
      <w:tr w:rsidR="00E247A6" w:rsidRPr="00E247A6" w:rsidTr="00D56111">
        <w:trPr>
          <w:trHeight w:hRule="exact" w:val="360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Рентабельность продаж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если хотя бы 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E247A6" w:rsidRPr="00E247A6" w:rsidTr="00D56111">
        <w:trPr>
          <w:trHeight w:hRule="exact" w:val="331"/>
        </w:trPr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4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показателей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отчетных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70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одном отчетном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4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 во всех отчетных</w:t>
            </w:r>
          </w:p>
        </w:tc>
      </w:tr>
      <w:tr w:rsidR="00E247A6" w:rsidRPr="00E247A6" w:rsidTr="00D56111">
        <w:trPr>
          <w:trHeight w:hRule="exact" w:val="33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Норма чистой прибыли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0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К5)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периодах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больше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периоде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периодах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больше 0</w:t>
            </w: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или равны 0 на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протяжении</w:t>
            </w:r>
            <w:proofErr w:type="gramEnd"/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большей части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или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298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анализируемого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равны 0, но для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41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периода</w:t>
            </w:r>
            <w:hyperlink r:id="rId9" w:history="1"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vertAlign w:val="superscript"/>
                </w:rPr>
                <w:t>3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,</w:t>
              </w:r>
            </w:hyperlink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6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анализируемого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показателей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периода.3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22"/>
        </w:trPr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или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989"/>
        </w:trPr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анализируемого периода</w:t>
            </w:r>
            <w:hyperlink r:id="rId10" w:history="1"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vertAlign w:val="superscript"/>
                </w:rPr>
                <w:t>3</w:t>
              </w:r>
              <w:r w:rsidRPr="00E247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</w:hyperlink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0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 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7A6" w:rsidRPr="00E247A6" w:rsidRDefault="00E247A6" w:rsidP="00E247A6">
      <w:pPr>
        <w:shd w:val="clear" w:color="auto" w:fill="FFFFFF"/>
        <w:spacing w:before="936"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───────────────</w:t>
      </w:r>
    </w:p>
    <w:p w:rsidR="00E247A6" w:rsidRPr="00E247A6" w:rsidRDefault="00E247A6" w:rsidP="00E247A6">
      <w:pPr>
        <w:shd w:val="clear" w:color="auto" w:fill="FFFFFF"/>
        <w:tabs>
          <w:tab w:val="left" w:pos="283"/>
        </w:tabs>
        <w:spacing w:before="5" w:line="240" w:lineRule="auto"/>
        <w:ind w:left="24"/>
        <w:contextualSpacing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hAnsi="Times New Roman" w:cs="Times New Roman"/>
          <w:i/>
          <w:iCs/>
          <w:spacing w:val="-40"/>
          <w:sz w:val="24"/>
          <w:szCs w:val="24"/>
          <w:vertAlign w:val="superscript"/>
        </w:rPr>
        <w:t>1</w:t>
      </w:r>
      <w:r w:rsidRPr="00E247A6">
        <w:rPr>
          <w:rFonts w:ascii="Times New Roman" w:hAnsi="Times New Roman" w:cs="Times New Roman"/>
          <w:i/>
          <w:iCs/>
          <w:spacing w:val="-40"/>
          <w:sz w:val="24"/>
          <w:szCs w:val="24"/>
        </w:rPr>
        <w:t>-</w:t>
      </w:r>
      <w:r w:rsidRPr="00E247A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47A6">
        <w:rPr>
          <w:rFonts w:ascii="Times New Roman" w:eastAsia="Times New Roman" w:hAnsi="Times New Roman" w:cs="Times New Roman"/>
          <w:sz w:val="24"/>
          <w:szCs w:val="24"/>
        </w:rPr>
        <w:t>наименьшее из значений показателя финансового состояния принципала в отчетных периодах, имеющих допустимые значения.</w:t>
      </w:r>
    </w:p>
    <w:p w:rsidR="00E247A6" w:rsidRPr="00E247A6" w:rsidRDefault="00E247A6" w:rsidP="00E247A6">
      <w:pPr>
        <w:shd w:val="clear" w:color="auto" w:fill="FFFFFF"/>
        <w:tabs>
          <w:tab w:val="left" w:pos="283"/>
        </w:tabs>
        <w:spacing w:line="240" w:lineRule="auto"/>
        <w:ind w:left="24"/>
        <w:contextualSpacing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hAnsi="Times New Roman" w:cs="Times New Roman"/>
          <w:spacing w:val="-31"/>
          <w:sz w:val="24"/>
          <w:szCs w:val="24"/>
          <w:vertAlign w:val="superscript"/>
        </w:rPr>
        <w:t>2</w:t>
      </w:r>
      <w:r w:rsidRPr="00E247A6">
        <w:rPr>
          <w:rFonts w:ascii="Times New Roman" w:hAnsi="Times New Roman" w:cs="Times New Roman"/>
          <w:spacing w:val="-31"/>
          <w:sz w:val="24"/>
          <w:szCs w:val="24"/>
        </w:rPr>
        <w:t>-</w:t>
      </w:r>
      <w:r w:rsidRPr="00E247A6">
        <w:rPr>
          <w:rFonts w:ascii="Times New Roman" w:hAnsi="Times New Roman" w:cs="Times New Roman"/>
          <w:sz w:val="24"/>
          <w:szCs w:val="24"/>
        </w:rPr>
        <w:tab/>
      </w:r>
      <w:r w:rsidRPr="00E247A6">
        <w:rPr>
          <w:rFonts w:ascii="Times New Roman" w:eastAsia="Times New Roman" w:hAnsi="Times New Roman" w:cs="Times New Roman"/>
          <w:sz w:val="24"/>
          <w:szCs w:val="24"/>
        </w:rPr>
        <w:t>наибольшее из значений показателя финансового состояния принципала в отчетных периодах, имеющих допустимые значения.</w:t>
      </w:r>
    </w:p>
    <w:p w:rsidR="00E247A6" w:rsidRPr="00E247A6" w:rsidRDefault="00E247A6" w:rsidP="00E247A6">
      <w:pPr>
        <w:shd w:val="clear" w:color="auto" w:fill="FFFFFF"/>
        <w:tabs>
          <w:tab w:val="left" w:pos="283"/>
        </w:tabs>
        <w:spacing w:line="240" w:lineRule="auto"/>
        <w:ind w:left="24"/>
        <w:contextualSpacing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hAnsi="Times New Roman" w:cs="Times New Roman"/>
          <w:spacing w:val="-35"/>
          <w:sz w:val="24"/>
          <w:szCs w:val="24"/>
          <w:vertAlign w:val="superscript"/>
        </w:rPr>
        <w:t>3</w:t>
      </w:r>
      <w:r w:rsidRPr="00E247A6">
        <w:rPr>
          <w:rFonts w:ascii="Times New Roman" w:hAnsi="Times New Roman" w:cs="Times New Roman"/>
          <w:spacing w:val="-35"/>
          <w:sz w:val="24"/>
          <w:szCs w:val="24"/>
        </w:rPr>
        <w:t>-</w:t>
      </w:r>
      <w:r w:rsidRPr="00E247A6">
        <w:rPr>
          <w:rFonts w:ascii="Times New Roman" w:hAnsi="Times New Roman" w:cs="Times New Roman"/>
          <w:sz w:val="24"/>
          <w:szCs w:val="24"/>
        </w:rPr>
        <w:tab/>
      </w:r>
      <w:r w:rsidRPr="00E247A6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период, за который проводится анализ финансового состояния принципала.</w:t>
      </w:r>
    </w:p>
    <w:p w:rsidR="00E247A6" w:rsidRPr="00E247A6" w:rsidRDefault="00E247A6" w:rsidP="00E247A6">
      <w:pPr>
        <w:shd w:val="clear" w:color="auto" w:fill="FFFFFF"/>
        <w:tabs>
          <w:tab w:val="left" w:pos="283"/>
        </w:tabs>
        <w:spacing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  <w:sectPr w:rsidR="00E247A6" w:rsidRPr="00E247A6">
          <w:pgSz w:w="11909" w:h="16834"/>
          <w:pgMar w:top="1236" w:right="682" w:bottom="360" w:left="1680" w:header="720" w:footer="720" w:gutter="0"/>
          <w:cols w:space="60"/>
          <w:noEndnote/>
        </w:sectPr>
      </w:pPr>
    </w:p>
    <w:p w:rsidR="00E247A6" w:rsidRPr="00E247A6" w:rsidRDefault="00E247A6" w:rsidP="00E247A6">
      <w:pPr>
        <w:shd w:val="clear" w:color="auto" w:fill="FFFFFF"/>
        <w:tabs>
          <w:tab w:val="left" w:pos="1090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lastRenderedPageBreak/>
        <w:t>5.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К группе принципалов с низкой степенью удовлетворительности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финансового состояния относятся принципалы, значение хотя бы 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показателя финансового состояния которых отнесено к группе C.</w:t>
      </w:r>
    </w:p>
    <w:p w:rsidR="00E247A6" w:rsidRPr="00E247A6" w:rsidRDefault="00E247A6" w:rsidP="00E247A6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отнесено к группе </w:t>
      </w:r>
      <w:r w:rsidRPr="00E247A6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и ни одно из значений не отнесено к группе C.</w:t>
      </w:r>
    </w:p>
    <w:p w:rsidR="00E247A6" w:rsidRPr="00E247A6" w:rsidRDefault="00E247A6" w:rsidP="00E247A6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 которых отнесены к группе </w:t>
      </w:r>
      <w:r w:rsidRPr="00E247A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7A6" w:rsidRPr="00E247A6" w:rsidRDefault="00E247A6" w:rsidP="00E247A6">
      <w:pPr>
        <w:shd w:val="clear" w:color="auto" w:fill="FFFFFF"/>
        <w:tabs>
          <w:tab w:val="left" w:pos="1037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6.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Минимальный объем (сумма) обеспечения исполнения обязатель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proofErr w:type="gramEnd"/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инципала по удовлетворению регрессного требования гаранта к принципалу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 муниципальной гарантии составляет:</w:t>
      </w:r>
    </w:p>
    <w:p w:rsidR="00E247A6" w:rsidRPr="00E247A6" w:rsidRDefault="00E247A6" w:rsidP="00E247A6">
      <w:pPr>
        <w:shd w:val="clear" w:color="auto" w:fill="FFFFFF"/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 xml:space="preserve">30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процентов предельной суммы муниципальной гарантии - для группы принципалов с высокой степенью удовлетворительности финансового состояния;</w:t>
      </w:r>
    </w:p>
    <w:p w:rsidR="00E247A6" w:rsidRPr="00E247A6" w:rsidRDefault="00E247A6" w:rsidP="00E247A6">
      <w:pPr>
        <w:shd w:val="clear" w:color="auto" w:fill="FFFFFF"/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 xml:space="preserve">50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процентов предельной суммы муниципальной гарантии - для группы принципалов со средней степенью удовлетворительности финансового состояния;</w:t>
      </w:r>
    </w:p>
    <w:p w:rsidR="00E247A6" w:rsidRPr="00E247A6" w:rsidRDefault="00E247A6" w:rsidP="00E247A6">
      <w:pPr>
        <w:shd w:val="clear" w:color="auto" w:fill="FFFFFF"/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 xml:space="preserve">70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процентов предельной суммы муниципальной гарантии - для группы принципалов с низкой степенью удовлетворительности финансового состояния;</w:t>
      </w:r>
    </w:p>
    <w:p w:rsidR="00E247A6" w:rsidRPr="00E247A6" w:rsidRDefault="00E247A6" w:rsidP="00E247A6">
      <w:pPr>
        <w:shd w:val="clear" w:color="auto" w:fill="FFFFFF"/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 xml:space="preserve">80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процентов предельной суммы муниципальной гарантии - для группы принципалов с неудовлетворительным финансовым состоянием.</w:t>
      </w:r>
    </w:p>
    <w:p w:rsidR="00E247A6" w:rsidRPr="00E247A6" w:rsidRDefault="00E247A6" w:rsidP="00E247A6">
      <w:pPr>
        <w:shd w:val="clear" w:color="auto" w:fill="FFFFFF"/>
        <w:tabs>
          <w:tab w:val="left" w:pos="1162"/>
          <w:tab w:val="left" w:pos="1459"/>
          <w:tab w:val="left" w:pos="3427"/>
          <w:tab w:val="left" w:pos="5299"/>
          <w:tab w:val="left" w:pos="7310"/>
          <w:tab w:val="left" w:pos="9206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E247A6">
        <w:rPr>
          <w:rFonts w:ascii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группы принципала по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удовлетворительности финансового состояния и минимального объема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3"/>
          <w:sz w:val="28"/>
          <w:szCs w:val="28"/>
        </w:rPr>
        <w:t>(суммы)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исполнения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</w:t>
      </w:r>
      <w:proofErr w:type="gramStart"/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ств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proofErr w:type="gramEnd"/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инципала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удовлетворению регрессного требования гаранта к принципалу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муниципальной гарантии оформляется заключение по форме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приложению 1 к настоящему Порядку.</w:t>
      </w:r>
    </w:p>
    <w:p w:rsidR="00E247A6" w:rsidRPr="00E247A6" w:rsidRDefault="00E247A6" w:rsidP="00E247A6">
      <w:pPr>
        <w:shd w:val="clear" w:color="auto" w:fill="FFFFFF"/>
        <w:tabs>
          <w:tab w:val="left" w:pos="1162"/>
          <w:tab w:val="left" w:pos="1459"/>
          <w:tab w:val="left" w:pos="3427"/>
          <w:tab w:val="left" w:pos="5299"/>
          <w:tab w:val="left" w:pos="7310"/>
          <w:tab w:val="left" w:pos="9206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247A6" w:rsidRPr="00E247A6">
          <w:pgSz w:w="11909" w:h="16834"/>
          <w:pgMar w:top="1440" w:right="706" w:bottom="720" w:left="1704" w:header="720" w:footer="720" w:gutter="0"/>
          <w:cols w:space="60"/>
          <w:noEndnote/>
        </w:sectPr>
      </w:pPr>
    </w:p>
    <w:p w:rsidR="00E247A6" w:rsidRPr="00E247A6" w:rsidRDefault="00E247A6" w:rsidP="00E247A6">
      <w:pPr>
        <w:shd w:val="clear" w:color="auto" w:fill="FFFFFF"/>
        <w:spacing w:line="240" w:lineRule="auto"/>
        <w:ind w:right="2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 № 1</w:t>
      </w:r>
    </w:p>
    <w:p w:rsidR="00E247A6" w:rsidRPr="00E247A6" w:rsidRDefault="00E247A6" w:rsidP="00E247A6">
      <w:pPr>
        <w:shd w:val="clear" w:color="auto" w:fill="FFFFFF"/>
        <w:spacing w:line="240" w:lineRule="auto"/>
        <w:ind w:right="2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>к</w:t>
      </w:r>
      <w:hyperlink r:id="rId11" w:history="1">
        <w:r w:rsidRPr="00E247A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Порядку </w:t>
        </w:r>
      </w:hyperlink>
      <w:r w:rsidRPr="00E247A6">
        <w:rPr>
          <w:rFonts w:ascii="Times New Roman" w:eastAsia="Times New Roman" w:hAnsi="Times New Roman" w:cs="Times New Roman"/>
          <w:sz w:val="24"/>
          <w:szCs w:val="24"/>
        </w:rPr>
        <w:t>определения при предоставлении муниципальной гарантии</w:t>
      </w:r>
    </w:p>
    <w:p w:rsidR="00E247A6" w:rsidRPr="00E247A6" w:rsidRDefault="00E247A6" w:rsidP="00E247A6">
      <w:pPr>
        <w:shd w:val="clear" w:color="auto" w:fill="FFFFFF"/>
        <w:spacing w:line="240" w:lineRule="auto"/>
        <w:ind w:right="26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>минимального объема (суммы) обеспечения исполнения обязательств</w:t>
      </w:r>
    </w:p>
    <w:p w:rsidR="00E247A6" w:rsidRPr="00E247A6" w:rsidRDefault="00E247A6" w:rsidP="00E247A6">
      <w:pPr>
        <w:shd w:val="clear" w:color="auto" w:fill="FFFFFF"/>
        <w:spacing w:line="240" w:lineRule="auto"/>
        <w:ind w:right="2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 xml:space="preserve">принципала по удовлетворению регрессного требования гаранта </w:t>
      </w:r>
      <w:proofErr w:type="gramStart"/>
      <w:r w:rsidRPr="00E247A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E247A6" w:rsidRPr="00E247A6" w:rsidRDefault="00E247A6" w:rsidP="00E247A6">
      <w:pPr>
        <w:shd w:val="clear" w:color="auto" w:fill="FFFFFF"/>
        <w:spacing w:line="240" w:lineRule="auto"/>
        <w:ind w:right="2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>принципалу по муниципальной гарантии в зависимости от степени</w:t>
      </w:r>
    </w:p>
    <w:p w:rsidR="00E247A6" w:rsidRPr="00E247A6" w:rsidRDefault="00E247A6" w:rsidP="00E247A6">
      <w:pPr>
        <w:shd w:val="clear" w:color="auto" w:fill="FFFFFF"/>
        <w:spacing w:line="240" w:lineRule="auto"/>
        <w:ind w:right="25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4"/>
          <w:szCs w:val="24"/>
        </w:rPr>
        <w:t>удовлетворительности финансового состояния принципала</w:t>
      </w:r>
    </w:p>
    <w:p w:rsidR="00E247A6" w:rsidRDefault="00E247A6" w:rsidP="00E247A6">
      <w:pPr>
        <w:shd w:val="clear" w:color="auto" w:fill="FFFFFF"/>
        <w:spacing w:before="638" w:line="240" w:lineRule="auto"/>
        <w:ind w:left="8405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247A6" w:rsidRPr="00E247A6" w:rsidRDefault="00E247A6" w:rsidP="00E247A6">
      <w:pPr>
        <w:shd w:val="clear" w:color="auto" w:fill="FFFFFF"/>
        <w:spacing w:before="638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pacing w:val="-6"/>
          <w:sz w:val="28"/>
          <w:szCs w:val="28"/>
        </w:rPr>
        <w:t>ФОРМА</w:t>
      </w:r>
    </w:p>
    <w:p w:rsidR="00E247A6" w:rsidRPr="00E247A6" w:rsidRDefault="00E247A6" w:rsidP="00E247A6">
      <w:pPr>
        <w:shd w:val="clear" w:color="auto" w:fill="FFFFFF"/>
        <w:spacing w:before="322" w:line="240" w:lineRule="auto"/>
        <w:ind w:right="2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ЗАКЛЮЧЕНИЕ</w:t>
      </w:r>
    </w:p>
    <w:p w:rsidR="00E247A6" w:rsidRPr="00E247A6" w:rsidRDefault="00E247A6" w:rsidP="00E247A6">
      <w:pPr>
        <w:shd w:val="clear" w:color="auto" w:fill="FFFFFF"/>
        <w:spacing w:line="240" w:lineRule="auto"/>
        <w:ind w:right="2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>о минимальном объеме (сумме) обеспечения исполнения обязательств</w:t>
      </w:r>
    </w:p>
    <w:p w:rsidR="00E247A6" w:rsidRPr="00E247A6" w:rsidRDefault="00E247A6" w:rsidP="00E247A6">
      <w:pPr>
        <w:shd w:val="clear" w:color="auto" w:fill="FFFFFF"/>
        <w:spacing w:line="240" w:lineRule="auto"/>
        <w:ind w:right="2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принципала по удовлетворению регрессного требования гаранта </w:t>
      </w:r>
      <w:proofErr w:type="gramStart"/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247A6" w:rsidRPr="00E247A6" w:rsidRDefault="00E247A6" w:rsidP="00E247A6">
      <w:pPr>
        <w:shd w:val="clear" w:color="auto" w:fill="FFFFFF"/>
        <w:spacing w:line="240" w:lineRule="auto"/>
        <w:ind w:right="2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>зависимости от степени удовлетворительности</w:t>
      </w:r>
    </w:p>
    <w:p w:rsidR="00E247A6" w:rsidRPr="00E247A6" w:rsidRDefault="00E247A6" w:rsidP="00E247A6">
      <w:pPr>
        <w:shd w:val="clear" w:color="auto" w:fill="FFFFFF"/>
        <w:spacing w:line="240" w:lineRule="auto"/>
        <w:ind w:right="2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финансового состояния принципала</w:t>
      </w:r>
    </w:p>
    <w:p w:rsidR="00E247A6" w:rsidRPr="00E247A6" w:rsidRDefault="00E247A6" w:rsidP="00E247A6">
      <w:pPr>
        <w:shd w:val="clear" w:color="auto" w:fill="FFFFFF"/>
        <w:tabs>
          <w:tab w:val="left" w:leader="underscore" w:pos="8299"/>
          <w:tab w:val="left" w:leader="underscore" w:pos="9072"/>
        </w:tabs>
        <w:spacing w:before="312"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Унарское</w:t>
      </w:r>
      <w:proofErr w:type="spellEnd"/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сельское поселение Омской области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16"/>
          <w:sz w:val="28"/>
          <w:szCs w:val="28"/>
        </w:rPr>
        <w:t>г.</w:t>
      </w:r>
    </w:p>
    <w:p w:rsidR="00E247A6" w:rsidRPr="00E247A6" w:rsidRDefault="00E247A6" w:rsidP="00E247A6">
      <w:pPr>
        <w:shd w:val="clear" w:color="auto" w:fill="FFFFFF"/>
        <w:spacing w:line="240" w:lineRule="auto"/>
        <w:ind w:left="34" w:right="1075" w:firstLine="72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Определение группы по степени удовлетворительности финансового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состояния</w:t>
      </w:r>
    </w:p>
    <w:p w:rsidR="00E247A6" w:rsidRPr="00E247A6" w:rsidRDefault="00E247A6" w:rsidP="00E247A6">
      <w:pPr>
        <w:shd w:val="clear" w:color="auto" w:fill="FFFFFF"/>
        <w:tabs>
          <w:tab w:val="left" w:leader="underscore" w:pos="8851"/>
        </w:tabs>
        <w:spacing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247A6" w:rsidRPr="00E247A6" w:rsidRDefault="00E247A6" w:rsidP="00E247A6">
      <w:pPr>
        <w:shd w:val="clear" w:color="auto" w:fill="FFFFFF"/>
        <w:tabs>
          <w:tab w:val="left" w:leader="underscore" w:pos="8712"/>
        </w:tabs>
        <w:spacing w:before="5" w:line="240" w:lineRule="auto"/>
        <w:ind w:left="24" w:right="245" w:firstLine="22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>(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наименование принципала, ИНН, ОГРН)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(далее - принципал) и минимального объема (суммы)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исполнения обязатель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E247A6">
        <w:rPr>
          <w:rFonts w:ascii="Times New Roman" w:eastAsia="Times New Roman" w:hAnsi="Times New Roman" w:cs="Times New Roman"/>
          <w:sz w:val="28"/>
          <w:szCs w:val="28"/>
        </w:rPr>
        <w:t>инципала по удовлетворению регрессного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требования гаранта по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Седельниковского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осуществлено на основании результатов анализа финансового состояния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br/>
      </w:r>
      <w:r w:rsidRPr="00E247A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7A6" w:rsidRPr="00E247A6" w:rsidRDefault="00E247A6" w:rsidP="00E247A6">
      <w:pPr>
        <w:shd w:val="clear" w:color="auto" w:fill="FFFFFF"/>
        <w:spacing w:before="322" w:line="240" w:lineRule="auto"/>
        <w:ind w:left="2419" w:right="1075" w:hanging="1282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Результаты </w:t>
      </w:r>
      <w:proofErr w:type="gramStart"/>
      <w:r w:rsidRPr="00E247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определения степени удовлетворительности </w:t>
      </w:r>
      <w:r w:rsidRPr="00E247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финансового состояния принципала</w:t>
      </w:r>
      <w:proofErr w:type="gramEnd"/>
    </w:p>
    <w:p w:rsidR="00E247A6" w:rsidRPr="00E247A6" w:rsidRDefault="00E247A6" w:rsidP="00E247A6">
      <w:pPr>
        <w:spacing w:after="312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9"/>
        <w:gridCol w:w="2222"/>
        <w:gridCol w:w="2222"/>
        <w:gridCol w:w="1493"/>
      </w:tblGrid>
      <w:tr w:rsidR="00E247A6" w:rsidRPr="00E247A6" w:rsidTr="00D56111">
        <w:trPr>
          <w:trHeight w:hRule="exact" w:val="102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показателей</w:t>
            </w:r>
          </w:p>
          <w:p w:rsidR="00E247A6" w:rsidRPr="00E247A6" w:rsidRDefault="00E247A6" w:rsidP="00E247A6">
            <w:pPr>
              <w:shd w:val="clear" w:color="auto" w:fill="FFFFFF"/>
              <w:spacing w:line="240" w:lineRule="auto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состояния</w:t>
            </w:r>
          </w:p>
          <w:p w:rsidR="00E247A6" w:rsidRPr="00E247A6" w:rsidRDefault="00E247A6" w:rsidP="00E247A6">
            <w:pPr>
              <w:shd w:val="clear" w:color="auto" w:fill="FFFFFF"/>
              <w:spacing w:line="240" w:lineRule="auto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принципала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4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left="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Группа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E247A6" w:rsidRPr="00E247A6" w:rsidTr="00D56111">
        <w:trPr>
          <w:trHeight w:hRule="exact" w:val="133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4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покрытия основных средств </w:t>
            </w: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собственными средствами 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102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Коэффициент покрытия 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основных средств 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собственными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7A6" w:rsidRPr="00E247A6" w:rsidRDefault="00E247A6" w:rsidP="00E247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247A6" w:rsidRPr="00E247A6">
          <w:pgSz w:w="11909" w:h="16834"/>
          <w:pgMar w:top="1440" w:right="456" w:bottom="360" w:left="177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9"/>
        <w:gridCol w:w="2222"/>
        <w:gridCol w:w="2222"/>
        <w:gridCol w:w="1493"/>
      </w:tblGrid>
      <w:tr w:rsidR="00E247A6" w:rsidRPr="00E247A6" w:rsidTr="00D56111">
        <w:trPr>
          <w:trHeight w:hRule="exact" w:val="70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4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долгосрочными заемными </w:t>
            </w: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(К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.1)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6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ind w:right="8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текущей ликвидности (К3)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7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Рентабельность продаж (К</w:t>
            </w:r>
            <w:proofErr w:type="gramStart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proofErr w:type="gramEnd"/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A6" w:rsidRPr="00E247A6" w:rsidTr="00D56111">
        <w:trPr>
          <w:trHeight w:hRule="exact" w:val="38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7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Норма чистой прибыли (К5)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7A6" w:rsidRPr="00E247A6" w:rsidRDefault="00E247A6" w:rsidP="00E247A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7A6" w:rsidRPr="00E247A6" w:rsidRDefault="00E247A6" w:rsidP="00E247A6">
      <w:pPr>
        <w:shd w:val="clear" w:color="auto" w:fill="FFFFFF"/>
        <w:tabs>
          <w:tab w:val="left" w:pos="2174"/>
          <w:tab w:val="left" w:pos="4224"/>
          <w:tab w:val="left" w:pos="5203"/>
          <w:tab w:val="left" w:pos="6874"/>
          <w:tab w:val="left" w:pos="9293"/>
        </w:tabs>
        <w:spacing w:before="317" w:line="240" w:lineRule="auto"/>
        <w:ind w:left="24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br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принципал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относится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группе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ab/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7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247A6" w:rsidRPr="00E247A6" w:rsidRDefault="00E247A6" w:rsidP="00E247A6">
      <w:pPr>
        <w:shd w:val="clear" w:color="auto" w:fill="FFFFFF"/>
        <w:tabs>
          <w:tab w:val="left" w:leader="underscore" w:pos="9264"/>
        </w:tabs>
        <w:spacing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ab/>
      </w:r>
    </w:p>
    <w:p w:rsidR="00E247A6" w:rsidRPr="00E247A6" w:rsidRDefault="00E247A6" w:rsidP="00E247A6">
      <w:pPr>
        <w:shd w:val="clear" w:color="auto" w:fill="FFFFFF"/>
        <w:spacing w:line="240" w:lineRule="auto"/>
        <w:ind w:left="24" w:right="-1" w:firstLine="3067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>(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высокой, средней, низкой) </w:t>
      </w: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степенью 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довлетворительности финансового </w:t>
      </w:r>
      <w:r w:rsidRPr="00E247A6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состояния.</w:t>
      </w:r>
    </w:p>
    <w:p w:rsidR="00E247A6" w:rsidRPr="00E247A6" w:rsidRDefault="00E247A6" w:rsidP="00E247A6">
      <w:pPr>
        <w:shd w:val="clear" w:color="auto" w:fill="FFFFFF"/>
        <w:spacing w:line="240" w:lineRule="auto"/>
        <w:ind w:left="24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pacing w:val="-8"/>
          <w:sz w:val="28"/>
          <w:szCs w:val="28"/>
        </w:rPr>
        <w:t>Минимальный    объем    (сумма)    обеспечения    исполнения    обязатель</w:t>
      </w:r>
      <w:proofErr w:type="gramStart"/>
      <w:r w:rsidRPr="00E247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ств </w:t>
      </w:r>
      <w:r w:rsidRPr="00E247A6">
        <w:rPr>
          <w:rFonts w:ascii="Times New Roman" w:eastAsia="Times New Roman" w:hAnsi="Times New Roman" w:cs="Times New Roman"/>
          <w:spacing w:val="-13"/>
          <w:sz w:val="28"/>
          <w:szCs w:val="28"/>
        </w:rPr>
        <w:t>пр</w:t>
      </w:r>
      <w:proofErr w:type="gramEnd"/>
      <w:r w:rsidRPr="00E247A6">
        <w:rPr>
          <w:rFonts w:ascii="Times New Roman" w:eastAsia="Times New Roman" w:hAnsi="Times New Roman" w:cs="Times New Roman"/>
          <w:spacing w:val="-13"/>
          <w:sz w:val="28"/>
          <w:szCs w:val="28"/>
        </w:rPr>
        <w:t>инципала       по       удовлетворению       регрессного       требования       гаранта    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муниципальной     гарантии     ____     сельского     поселения     составляет   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процентов.</w:t>
      </w:r>
    </w:p>
    <w:p w:rsidR="00E247A6" w:rsidRPr="00E247A6" w:rsidRDefault="00E247A6" w:rsidP="00E247A6">
      <w:pPr>
        <w:shd w:val="clear" w:color="auto" w:fill="FFFFFF"/>
        <w:spacing w:before="638"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247A6" w:rsidRPr="00E247A6" w:rsidRDefault="00E247A6" w:rsidP="00E247A6">
      <w:pPr>
        <w:shd w:val="clear" w:color="auto" w:fill="FFFFFF"/>
        <w:tabs>
          <w:tab w:val="left" w:leader="underscore" w:pos="1987"/>
          <w:tab w:val="left" w:leader="underscore" w:pos="7094"/>
        </w:tabs>
        <w:spacing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47A6">
        <w:rPr>
          <w:rFonts w:ascii="Times New Roman" w:hAnsi="Times New Roman" w:cs="Times New Roman"/>
          <w:sz w:val="28"/>
          <w:szCs w:val="28"/>
        </w:rPr>
        <w:tab/>
      </w:r>
    </w:p>
    <w:p w:rsidR="00E247A6" w:rsidRPr="00E247A6" w:rsidRDefault="00E247A6" w:rsidP="00E247A6">
      <w:pPr>
        <w:shd w:val="clear" w:color="auto" w:fill="FFFFFF"/>
        <w:spacing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E247A6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подпись)   (расшифровка подписи)</w:t>
      </w:r>
    </w:p>
    <w:p w:rsidR="00E247A6" w:rsidRPr="00E247A6" w:rsidRDefault="00E247A6" w:rsidP="00E247A6">
      <w:pPr>
        <w:shd w:val="clear" w:color="auto" w:fill="FFFFFF"/>
        <w:spacing w:before="638"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специалист - бухгалтер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247A6" w:rsidRPr="00E247A6" w:rsidRDefault="00E247A6" w:rsidP="00E247A6">
      <w:pPr>
        <w:shd w:val="clear" w:color="auto" w:fill="FFFFFF"/>
        <w:tabs>
          <w:tab w:val="left" w:leader="underscore" w:pos="1565"/>
          <w:tab w:val="left" w:leader="underscore" w:pos="6538"/>
        </w:tabs>
        <w:spacing w:line="24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47A6">
        <w:rPr>
          <w:rFonts w:ascii="Times New Roman" w:hAnsi="Times New Roman" w:cs="Times New Roman"/>
          <w:sz w:val="28"/>
          <w:szCs w:val="28"/>
        </w:rPr>
        <w:tab/>
      </w:r>
    </w:p>
    <w:p w:rsidR="00E247A6" w:rsidRPr="00E247A6" w:rsidRDefault="00E247A6" w:rsidP="00E247A6">
      <w:pPr>
        <w:shd w:val="clear" w:color="auto" w:fill="FFFFFF"/>
        <w:spacing w:line="240" w:lineRule="auto"/>
        <w:ind w:left="24" w:right="5472"/>
        <w:contextualSpacing/>
        <w:rPr>
          <w:rFonts w:ascii="Times New Roman" w:hAnsi="Times New Roman" w:cs="Times New Roman"/>
          <w:sz w:val="28"/>
          <w:szCs w:val="28"/>
        </w:rPr>
      </w:pPr>
      <w:r w:rsidRPr="00E247A6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E247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подпись)   (расшифровка подписи) </w:t>
      </w:r>
      <w:r w:rsidRPr="00E247A6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E247A6" w:rsidRPr="00E247A6" w:rsidRDefault="00E247A6" w:rsidP="00E24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247A6" w:rsidRPr="00E247A6" w:rsidSect="008A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7A6"/>
    <w:rsid w:val="0088188C"/>
    <w:rsid w:val="008A6E69"/>
    <w:rsid w:val="00E2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47A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247A6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74631578/entry/2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%23/document/74631578/entry/1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%23/document/74631578/entry/111" TargetMode="External"/><Relationship Id="rId11" Type="http://schemas.openxmlformats.org/officeDocument/2006/relationships/hyperlink" Target="https://internet.garant.ru/%23/document/74754482/entry/1000" TargetMode="External"/><Relationship Id="rId5" Type="http://schemas.openxmlformats.org/officeDocument/2006/relationships/hyperlink" Target="https://internet.garant.ru/%23/document/74754482/entry/1000" TargetMode="External"/><Relationship Id="rId10" Type="http://schemas.openxmlformats.org/officeDocument/2006/relationships/hyperlink" Target="https://internet.garant.ru/%23/document/74631578/entry/333" TargetMode="External"/><Relationship Id="rId4" Type="http://schemas.openxmlformats.org/officeDocument/2006/relationships/hyperlink" Target="https://internet.garant.ru/%23/document/12112604/entry/115304" TargetMode="External"/><Relationship Id="rId9" Type="http://schemas.openxmlformats.org/officeDocument/2006/relationships/hyperlink" Target="https://internet.garant.ru/%23/document/74631578/entry/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3</cp:revision>
  <dcterms:created xsi:type="dcterms:W3CDTF">2024-04-15T15:54:00Z</dcterms:created>
  <dcterms:modified xsi:type="dcterms:W3CDTF">2024-04-15T16:11:00Z</dcterms:modified>
</cp:coreProperties>
</file>